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D1E82" w14:textId="77777777" w:rsidR="00567B9B" w:rsidRDefault="00554E59">
      <w:pPr>
        <w:spacing w:before="200" w:after="80"/>
      </w:pPr>
      <w:r>
        <w:rPr>
          <w:b/>
          <w:bCs/>
          <w:color w:val="1F3864"/>
          <w:sz w:val="44"/>
          <w:szCs w:val="44"/>
        </w:rPr>
        <w:t>WDI 2026 Topic Scoring Criteria</w:t>
      </w:r>
    </w:p>
    <w:p w14:paraId="4CAD1E83" w14:textId="77777777" w:rsidR="00567B9B" w:rsidRDefault="00554E59">
      <w:pPr>
        <w:spacing w:after="300"/>
      </w:pPr>
      <w:r>
        <w:rPr>
          <w:b/>
          <w:bCs/>
          <w:color w:val="2E75B6"/>
          <w:sz w:val="36"/>
          <w:szCs w:val="36"/>
        </w:rPr>
        <w:t>Topic 13: Pay Gaps and Pay Ratios</w:t>
      </w:r>
    </w:p>
    <w:p w14:paraId="4CAD1E84" w14:textId="77777777" w:rsidR="00567B9B" w:rsidRDefault="00567B9B">
      <w:pPr>
        <w:pBdr>
          <w:bottom w:val="single" w:sz="4" w:space="1" w:color="D9D9D9"/>
        </w:pBdr>
        <w:spacing w:before="240" w:after="240"/>
      </w:pPr>
    </w:p>
    <w:p w14:paraId="4CAD1E85" w14:textId="77777777" w:rsidR="00567B9B" w:rsidRDefault="00554E59">
      <w:pPr>
        <w:pStyle w:val="Heading1"/>
        <w:spacing w:before="360" w:after="160"/>
      </w:pPr>
      <w:r>
        <w:rPr>
          <w:b/>
          <w:bCs/>
          <w:color w:val="1F3864"/>
          <w:sz w:val="34"/>
          <w:szCs w:val="34"/>
        </w:rPr>
        <w:t>1. Topic Overview</w:t>
      </w:r>
    </w:p>
    <w:p w14:paraId="4CAD1E86" w14:textId="77777777" w:rsidR="00567B9B" w:rsidRDefault="00554E59">
      <w:pPr>
        <w:spacing w:before="80" w:after="80"/>
      </w:pPr>
      <w:r>
        <w:rPr>
          <w:color w:val="1A1A1A"/>
        </w:rPr>
        <w:t>This topic assesses the company’s disclosure of pay equity and compensation metrics, the actions it takes to address pay gaps, and the non-pay benefits it provides to workers. It covers the CEO-to-median worker pay ratio, gender and ethnicity pay gaps, actions and KPIs to reduce pay disparities, non-pay benefit provision, and the scope of worker eligibility for those benefits.</w:t>
      </w:r>
    </w:p>
    <w:p w14:paraId="4CAD1E87" w14:textId="77777777" w:rsidR="00567B9B" w:rsidRDefault="00554E59">
      <w:pPr>
        <w:spacing w:before="80" w:after="80"/>
      </w:pPr>
      <w:r>
        <w:rPr>
          <w:color w:val="1A1A1A"/>
        </w:rPr>
        <w:t>The topic is scored using six questions: Q5.1 (CEO-to-median pay ratio, table), Q5.2 (gender pay gap %, table), Q5.3 (ethnicity pay gap %, table), Q5.4 (actions to reduce pay gaps, text 300 words), Q5.5 (non-pay benefits, dropdown + text), and Q5.5a (worker categories eligible for benefits, dropdown + text). Q5.A is excluded from scoring.</w:t>
      </w:r>
    </w:p>
    <w:p w14:paraId="4CAD1E88" w14:textId="77777777" w:rsidR="00567B9B" w:rsidRDefault="00554E59">
      <w:pPr>
        <w:pStyle w:val="Heading2"/>
        <w:spacing w:before="280" w:after="120"/>
      </w:pPr>
      <w:r>
        <w:rPr>
          <w:b/>
          <w:bCs/>
          <w:color w:val="2E75B6"/>
        </w:rPr>
        <w:t>Critical Scoring Principle: Ratio/Gap Values Are Not Scored</w:t>
      </w:r>
    </w:p>
    <w:p w14:paraId="4CAD1E89" w14:textId="77777777" w:rsidR="00567B9B" w:rsidRDefault="00554E59">
      <w:pPr>
        <w:spacing w:before="80" w:after="80"/>
      </w:pPr>
      <w:r>
        <w:rPr>
          <w:color w:val="1A1A1A"/>
        </w:rPr>
        <w:t>Q5.1, Q5.2, and Q5.3 ask for a ratio or percentage figure. These figures are NOT scored as ‘lower is better’ or ‘higher is better.’ A CEO pay ratio of 50:1 does not score higher than 200:1 simply because it is lower — context, industry, geography, and business model make the ratio value impossible to benchmark fairly across companies. Similarly, a gender pay gap of 5% is not scored as twice as good as 10%. What is scored is: (1) whether the figure is provided at all, and (2) whether the explanation column a</w:t>
      </w:r>
      <w:r>
        <w:rPr>
          <w:color w:val="1A1A1A"/>
        </w:rPr>
        <w:t>dequately describes the scope and methodology used to calculate it. A company that discloses a large gap with clear methodology scores better than one that reports a suspiciously small gap with no explanation of how it was calculated.</w:t>
      </w:r>
    </w:p>
    <w:p w14:paraId="4CAD1E8A" w14:textId="77777777" w:rsidR="00567B9B" w:rsidRDefault="00554E59">
      <w:pPr>
        <w:spacing w:before="80" w:after="60"/>
      </w:pPr>
      <w:r>
        <w:rPr>
          <w:i/>
          <w:iCs/>
          <w:color w:val="666666"/>
          <w:sz w:val="17"/>
          <w:szCs w:val="17"/>
        </w:rPr>
        <w:t xml:space="preserve">Exception for Q5.3 (ethnicity pay gap): if the company is legally prohibited from collecting ethnicity data in </w:t>
      </w:r>
      <w:proofErr w:type="gramStart"/>
      <w:r>
        <w:rPr>
          <w:i/>
          <w:iCs/>
          <w:color w:val="666666"/>
          <w:sz w:val="17"/>
          <w:szCs w:val="17"/>
        </w:rPr>
        <w:t>all of</w:t>
      </w:r>
      <w:proofErr w:type="gramEnd"/>
      <w:r>
        <w:rPr>
          <w:i/>
          <w:iCs/>
          <w:color w:val="666666"/>
          <w:sz w:val="17"/>
          <w:szCs w:val="17"/>
        </w:rPr>
        <w:t xml:space="preserve"> its locations, it may explain this in the 150-word text box and will not be penalised. A valid legal-exception explanation scores equivalently to providing the data.</w:t>
      </w:r>
    </w:p>
    <w:p w14:paraId="4CAD1E8B" w14:textId="77777777" w:rsidR="00567B9B" w:rsidRDefault="00554E59">
      <w:pPr>
        <w:pStyle w:val="Heading2"/>
        <w:spacing w:before="280" w:after="120"/>
      </w:pPr>
      <w:r>
        <w:rPr>
          <w:b/>
          <w:bCs/>
          <w:color w:val="2E75B6"/>
        </w:rPr>
        <w:t>No Awareness Dimension</w:t>
      </w:r>
    </w:p>
    <w:p w14:paraId="4CAD1E8C" w14:textId="77777777" w:rsidR="00567B9B" w:rsidRDefault="00554E59">
      <w:pPr>
        <w:spacing w:before="80" w:after="80"/>
      </w:pPr>
      <w:r>
        <w:rPr>
          <w:color w:val="1A1A1A"/>
        </w:rPr>
        <w:t xml:space="preserve">The 3A evidence columns confirm Awareness = (none identified) for all six questions. This topic asks companies to disclose implemented pay metrics and </w:t>
      </w:r>
      <w:proofErr w:type="gramStart"/>
      <w:r>
        <w:rPr>
          <w:color w:val="1A1A1A"/>
        </w:rPr>
        <w:t>take action</w:t>
      </w:r>
      <w:proofErr w:type="gramEnd"/>
      <w:r>
        <w:rPr>
          <w:color w:val="1A1A1A"/>
        </w:rPr>
        <w:t xml:space="preserve"> on pay equity — it does not ask them to recognise a topic. This is a two-dimension topic: Approach and Action only.</w:t>
      </w:r>
    </w:p>
    <w:p w14:paraId="4CAD1E8D" w14:textId="77777777" w:rsidR="00567B9B" w:rsidRDefault="00554E59">
      <w:pPr>
        <w:pStyle w:val="Heading2"/>
        <w:spacing w:before="280" w:after="120"/>
      </w:pPr>
      <w:r>
        <w:rPr>
          <w:b/>
          <w:bCs/>
          <w:color w:val="2E75B6"/>
        </w:rPr>
        <w:t>Applicability Logic: OR-then-AND Across Six Questions</w:t>
      </w:r>
    </w:p>
    <w:p w14:paraId="4CAD1E8E" w14:textId="77777777" w:rsidR="00567B9B" w:rsidRDefault="00554E59">
      <w:pPr>
        <w:spacing w:before="80" w:after="80"/>
      </w:pPr>
      <w:r>
        <w:rPr>
          <w:color w:val="1A1A1A"/>
        </w:rPr>
        <w:t>All six questions are always applicable. However, since both Approach and Action draw from multiple questions simultaneously, the OR-then-AND gate logic applies. For Approach: Q5.4’s assessment/system elements and Q5.5a’s worker category coverage are both always applicable and both feed Approach. For Action: Q5.1, Q5.2, Q5.3, Q5.4 (targets/outcomes), and Q5.5 are all always applicable. OR logic applies at lower score levels (strength in any one question reaches those levels); AND logic applies at the top le</w:t>
      </w:r>
      <w:r>
        <w:rPr>
          <w:color w:val="1A1A1A"/>
        </w:rPr>
        <w:t>vel (all applicable questions must meet the standard).</w:t>
      </w:r>
    </w:p>
    <w:p w14:paraId="4CAD1E8F" w14:textId="77777777" w:rsidR="00567B9B" w:rsidRDefault="00554E59">
      <w:pPr>
        <w:pStyle w:val="Heading2"/>
        <w:spacing w:before="280" w:after="120"/>
      </w:pPr>
      <w:r>
        <w:rPr>
          <w:b/>
          <w:bCs/>
          <w:color w:val="2E75B6"/>
        </w:rPr>
        <w:t>3A Dimension Mapping</w:t>
      </w:r>
    </w:p>
    <w:p w14:paraId="4CAD1E90" w14:textId="77777777" w:rsidR="00567B9B" w:rsidRDefault="00554E59">
      <w:pPr>
        <w:spacing w:before="80" w:after="80"/>
      </w:pPr>
      <w:r>
        <w:rPr>
          <w:color w:val="1A1A1A"/>
        </w:rPr>
        <w:t>Approach: Q5.4’s assessment efforts (the company’s process for assessing reasons for pay gaps, conducting audits, and maintaining ongoing monitoring where gaps are equitable) + Q5.5a (which worker categories are eligible for non-pay benefits). Action: Q5.1 (CEO pay ratio figure + explanation), Q5.2 (gender pay gap % + explanation), Q5.3 (ethnicity pay gap % + explanation or legal exception), Q5.4 (measurable and time-bound targets/KPIs + actions taken or underway), Q5.5 (non-pay benefits selected from dropd</w:t>
      </w:r>
      <w:r>
        <w:rPr>
          <w:color w:val="1A1A1A"/>
        </w:rPr>
        <w:t>own + additional details).</w:t>
      </w:r>
    </w:p>
    <w:p w14:paraId="4CAD1E91" w14:textId="77777777" w:rsidR="00567B9B" w:rsidRDefault="00554E59">
      <w:pPr>
        <w:spacing w:before="80" w:after="60"/>
      </w:pPr>
      <w:r>
        <w:rPr>
          <w:i/>
          <w:iCs/>
          <w:color w:val="666666"/>
          <w:sz w:val="17"/>
          <w:szCs w:val="17"/>
        </w:rPr>
        <w:t>Q5.A (Notes on Pay gaps and pay ratios) is excluded from scoring.</w:t>
      </w:r>
    </w:p>
    <w:p w14:paraId="4CAD1E92" w14:textId="77777777" w:rsidR="00567B9B" w:rsidRDefault="00567B9B">
      <w:pPr>
        <w:pBdr>
          <w:bottom w:val="single" w:sz="4" w:space="1" w:color="D9D9D9"/>
        </w:pBdr>
        <w:spacing w:before="240" w:after="240"/>
      </w:pPr>
    </w:p>
    <w:p w14:paraId="4CAD1E93" w14:textId="77777777" w:rsidR="00567B9B" w:rsidRDefault="00554E59">
      <w:pPr>
        <w:pStyle w:val="Heading1"/>
        <w:spacing w:before="360" w:after="160"/>
      </w:pPr>
      <w:r>
        <w:rPr>
          <w:b/>
          <w:bCs/>
          <w:color w:val="1F3864"/>
          <w:sz w:val="34"/>
          <w:szCs w:val="34"/>
        </w:rPr>
        <w:lastRenderedPageBreak/>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40"/>
        <w:gridCol w:w="5040"/>
      </w:tblGrid>
      <w:tr w:rsidR="00567B9B" w14:paraId="4CAD1E96" w14:textId="77777777">
        <w:trPr>
          <w:tblHeader/>
        </w:trPr>
        <w:tc>
          <w:tcPr>
            <w:tcW w:w="504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4CAD1E94" w14:textId="77777777" w:rsidR="00567B9B" w:rsidRDefault="00554E59">
            <w:pPr>
              <w:jc w:val="center"/>
            </w:pPr>
            <w:r>
              <w:rPr>
                <w:b/>
                <w:bCs/>
                <w:color w:val="FFFFFF"/>
                <w:sz w:val="17"/>
                <w:szCs w:val="17"/>
              </w:rPr>
              <w:t>APPROACH</w:t>
            </w:r>
          </w:p>
        </w:tc>
        <w:tc>
          <w:tcPr>
            <w:tcW w:w="504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4CAD1E95" w14:textId="77777777" w:rsidR="00567B9B" w:rsidRDefault="00554E59">
            <w:pPr>
              <w:jc w:val="center"/>
            </w:pPr>
            <w:r>
              <w:rPr>
                <w:b/>
                <w:bCs/>
                <w:color w:val="FFFFFF"/>
                <w:sz w:val="17"/>
                <w:szCs w:val="17"/>
              </w:rPr>
              <w:t>ACTION</w:t>
            </w:r>
          </w:p>
        </w:tc>
      </w:tr>
      <w:tr w:rsidR="00567B9B" w14:paraId="4CAD1E99" w14:textId="77777777">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CAD1E97" w14:textId="77777777" w:rsidR="00567B9B" w:rsidRDefault="00554E59">
            <w:pPr>
              <w:spacing w:before="20" w:after="20"/>
            </w:pPr>
            <w:r>
              <w:rPr>
                <w:color w:val="1A1A1A"/>
                <w:sz w:val="18"/>
                <w:szCs w:val="18"/>
              </w:rPr>
              <w:t>Approach is assessed from Q5.4’s assessment/system elements (always applicable) and Q5.5a’s worker category coverage (always applicable).  Q5.4 Approach elements: The guidance asks the company to describe: (a) if gaps are considered inequitable — the efforts to assess reasons for those gaps (conducting assessments to identify drivers, gender pay gap audits to investigate divergence, etc.); (b) if gaps are considered equitable — the steps taken to maintain those levels, including ongoing monitoring cadence (</w:t>
            </w:r>
            <w:r>
              <w:rPr>
                <w:color w:val="1A1A1A"/>
                <w:sz w:val="18"/>
                <w:szCs w:val="18"/>
              </w:rPr>
              <w:t>e.g., annual pay equity audits and ratio reviews), continued tracking of relevant metrics, and governance and controls to sustain outcomes. The governance and monitoring system is the Approach evidence — not the targets or actions themselves (those are Action).  Q5.5a (always applicable): which worker categories are eligible for the non-pay benefits reported in Q5.5 — selected from a predefined dropdown (Full-time/permanent employees, Fixed-term/temporary, Part-time, Non-guaranteed hours, Other) plus additi</w:t>
            </w:r>
            <w:r>
              <w:rPr>
                <w:color w:val="1A1A1A"/>
                <w:sz w:val="18"/>
                <w:szCs w:val="18"/>
              </w:rPr>
              <w:t xml:space="preserve">onal detail text (150 words) where eligibility differs by benefit type, geography, or business unit.  OR and </w:t>
            </w:r>
            <w:proofErr w:type="spellStart"/>
            <w:r>
              <w:rPr>
                <w:color w:val="1A1A1A"/>
                <w:sz w:val="18"/>
                <w:szCs w:val="18"/>
              </w:rPr>
              <w:t>AND</w:t>
            </w:r>
            <w:proofErr w:type="spellEnd"/>
            <w:r>
              <w:rPr>
                <w:color w:val="1A1A1A"/>
                <w:sz w:val="18"/>
                <w:szCs w:val="18"/>
              </w:rPr>
              <w:t xml:space="preserve"> logic: OR at lower levels (strength in either Q5.4 assessment description or Q5.5a coverage reaches mid-tier). AND at score 5: both Q5.4’s assessment/monitoring system and Q5.5a’s worker category coverage must independently meet the leading standard.  Primary evidence: the specificity of the pay gap assessment/audit process and monitoring cadence described in Q5.4; and the breadth and detail of Q</w:t>
            </w:r>
            <w:r>
              <w:rPr>
                <w:color w:val="1A1A1A"/>
                <w:sz w:val="18"/>
                <w:szCs w:val="18"/>
              </w:rPr>
              <w:t>5.5a worker category coverage.</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CAD1E98" w14:textId="77777777" w:rsidR="00567B9B" w:rsidRDefault="00554E59">
            <w:pPr>
              <w:spacing w:before="20" w:after="20"/>
            </w:pPr>
            <w:r>
              <w:rPr>
                <w:color w:val="1A1A1A"/>
                <w:sz w:val="18"/>
                <w:szCs w:val="18"/>
              </w:rPr>
              <w:t>Action is assessed from Q5.1, Q5.2, Q5.3 (pay ratio/gap figures with explanations), Q5.4 (targets/KPIs and actions taken), and Q5.5 (non-pay benefits provided).  Q5.1 (CEO-to-median pay ratio): the ratio figure itself AND an explanation covering what the figure represents, its scope (domestic or global), and the methodology used. The ratio value is not scored as ‘lower = better’ — what matters is whether the figure is provided and whether the explanation covers scope and methodology.  Q5.2 (gender pay gap %</w:t>
            </w:r>
            <w:r>
              <w:rPr>
                <w:color w:val="1A1A1A"/>
                <w:sz w:val="18"/>
                <w:szCs w:val="18"/>
              </w:rPr>
              <w:t xml:space="preserve">): the percentage figure AND an explanation covering scope, methodology (e.g., difference between median hourly pay expressed as %, consistent with UK GPG or local equivalent), and how the company treats cases where data is unavailable.  Q5.3 (ethnicity pay gap %): the percentage figure AND an explanation covering scope and methodology, OR a valid legal-exception explanation where ethnicity data collection is legally prohibited in all the company’s locations. A valid legal exception is not penalised.  Q5.4 </w:t>
            </w:r>
            <w:r>
              <w:rPr>
                <w:color w:val="1A1A1A"/>
                <w:sz w:val="18"/>
                <w:szCs w:val="18"/>
              </w:rPr>
              <w:t xml:space="preserve">Action elements: measurable and time-bound targets or KPIs set to assess and reduce pay gaps and/or improve representation of disadvantaged groups in higher pay levels (specifying which gaps are targeted), AND actions taken or underway to reduce gaps or ratios.  Q5.5 (non-pay benefits): the specific benefits selected from the dropdown (ESOPs, training budget, wellbeing subsidy, commercial insurance, other) plus any additional details on availability and scope.  OR and </w:t>
            </w:r>
            <w:proofErr w:type="spellStart"/>
            <w:r>
              <w:rPr>
                <w:color w:val="1A1A1A"/>
                <w:sz w:val="18"/>
                <w:szCs w:val="18"/>
              </w:rPr>
              <w:t>AND</w:t>
            </w:r>
            <w:proofErr w:type="spellEnd"/>
            <w:r>
              <w:rPr>
                <w:color w:val="1A1A1A"/>
                <w:sz w:val="18"/>
                <w:szCs w:val="18"/>
              </w:rPr>
              <w:t xml:space="preserve"> logic: OR at lower levels (any one </w:t>
            </w:r>
            <w:r>
              <w:rPr>
                <w:color w:val="1A1A1A"/>
                <w:sz w:val="18"/>
                <w:szCs w:val="18"/>
              </w:rPr>
              <w:t>of Q5.1/5.2/5.3 figures provided, or Q5.5 benefits selected, reaches early levels). AND at score 5: Q5.1 AND Q5.2 must both be provided with explanations; Q5.3 must be provided or have a valid legal exception; Q5.4 must have specific targets with identified gaps AND actions taken; AND Q5.5 must have benefits selected with additional details.  Primary evidence: completeness of Q5.1/5.2/5.3 figures with scope/methodology explanations; specificity of Q5.4 targets and action evidence; breadth of Q5.5 benefit se</w:t>
            </w:r>
            <w:r>
              <w:rPr>
                <w:color w:val="1A1A1A"/>
                <w:sz w:val="18"/>
                <w:szCs w:val="18"/>
              </w:rPr>
              <w:t>lection.</w:t>
            </w:r>
          </w:p>
        </w:tc>
      </w:tr>
    </w:tbl>
    <w:p w14:paraId="4CAD1E9A" w14:textId="77777777" w:rsidR="00567B9B" w:rsidRDefault="00567B9B">
      <w:pPr>
        <w:pBdr>
          <w:bottom w:val="single" w:sz="4" w:space="1" w:color="D9D9D9"/>
        </w:pBdr>
        <w:spacing w:before="240" w:after="240"/>
      </w:pPr>
    </w:p>
    <w:p w14:paraId="4CAD1E9B" w14:textId="77777777" w:rsidR="00567B9B" w:rsidRDefault="00554E59">
      <w:pPr>
        <w:pStyle w:val="Heading1"/>
        <w:spacing w:before="360" w:after="160"/>
      </w:pPr>
      <w:r>
        <w:rPr>
          <w:b/>
          <w:bCs/>
          <w:color w:val="1F3864"/>
          <w:sz w:val="34"/>
          <w:szCs w:val="34"/>
        </w:rPr>
        <w:t>3. Scoring Rubric — All Dimensions</w:t>
      </w:r>
    </w:p>
    <w:p w14:paraId="4CAD1E9C" w14:textId="77777777" w:rsidR="00567B9B" w:rsidRDefault="00554E59">
      <w:pPr>
        <w:spacing w:before="80" w:after="60"/>
      </w:pPr>
      <w:r>
        <w:rPr>
          <w:i/>
          <w:iCs/>
          <w:color w:val="666666"/>
          <w:sz w:val="17"/>
          <w:szCs w:val="17"/>
        </w:rPr>
        <w:t>Both dimensions use 0,1,2,3,5 (five levels). OR logic applies at scores 0–3 across the contributing questions; AND logic applies at score 5. The ratio/gap values in Q5.1/5.2/5.3 are not scored as higher or lower being better — disclosure quality and methodology transparency are what differentiate scores. There is no Awareness dimension for this topic.</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88"/>
        <w:gridCol w:w="677"/>
        <w:gridCol w:w="1182"/>
        <w:gridCol w:w="3658"/>
        <w:gridCol w:w="2715"/>
      </w:tblGrid>
      <w:tr w:rsidR="00567B9B" w14:paraId="4CAD1EA3" w14:textId="77777777" w:rsidTr="012DFB4D">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CAD1E9D" w14:textId="77777777" w:rsidR="00567B9B" w:rsidRDefault="00554E59">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CAD1E9E" w14:textId="77777777" w:rsidR="00567B9B" w:rsidRDefault="00554E59">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CAD1E9F" w14:textId="77777777" w:rsidR="00567B9B" w:rsidRDefault="00554E59">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CAD1EA0" w14:textId="77777777" w:rsidR="00567B9B" w:rsidRDefault="00554E59">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CAD1EA1" w14:textId="77777777" w:rsidR="00567B9B" w:rsidRDefault="00554E59">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CAD1EA2" w14:textId="77777777" w:rsidR="00567B9B" w:rsidRDefault="00554E59">
            <w:pPr>
              <w:jc w:val="center"/>
            </w:pPr>
            <w:r>
              <w:rPr>
                <w:b/>
                <w:bCs/>
                <w:color w:val="FFFFFF"/>
                <w:sz w:val="15"/>
                <w:szCs w:val="15"/>
              </w:rPr>
              <w:t>Next Step</w:t>
            </w:r>
          </w:p>
        </w:tc>
      </w:tr>
      <w:tr w:rsidR="00567B9B" w14:paraId="4CAD1EAA" w14:textId="77777777" w:rsidTr="012DFB4D">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CAD1EA4" w14:textId="77777777" w:rsidR="00567B9B" w:rsidRDefault="00554E59">
            <w:pPr>
              <w:spacing w:before="20" w:after="20"/>
              <w:jc w:val="center"/>
            </w:pPr>
            <w:r>
              <w:rPr>
                <w:b/>
                <w:bCs/>
                <w:color w:val="1A1A1A"/>
                <w:sz w:val="17"/>
                <w:szCs w:val="17"/>
              </w:rPr>
              <w:t>13</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CAD1EA5" w14:textId="77777777" w:rsidR="00567B9B" w:rsidRDefault="00554E59">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CAD1EA6" w14:textId="77777777" w:rsidR="00567B9B" w:rsidRDefault="00554E59">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CAD1EA7" w14:textId="77777777" w:rsidR="00567B9B" w:rsidRDefault="00554E59">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CAD1EA8" w14:textId="77777777" w:rsidR="00567B9B" w:rsidRDefault="00554E59">
            <w:pPr>
              <w:spacing w:before="20" w:after="20"/>
            </w:pPr>
            <w:r>
              <w:rPr>
                <w:color w:val="1A1A1A"/>
                <w:sz w:val="18"/>
                <w:szCs w:val="18"/>
              </w:rPr>
              <w:t>AND across both sources: Q5.4 provides no description of any pay gap assessment, audit, monitoring cadence, or governance system (blank or only describes actions/targets with no process context). AND Q5.5a is blank or no worker categories are selected for non-pay benefit eligibility.</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CAD1EA9" w14:textId="77777777" w:rsidR="00567B9B" w:rsidRDefault="00554E59">
            <w:pPr>
              <w:spacing w:before="20" w:after="20"/>
            </w:pPr>
            <w:r>
              <w:rPr>
                <w:i/>
                <w:iCs/>
                <w:color w:val="1A1A1A"/>
                <w:sz w:val="17"/>
                <w:szCs w:val="17"/>
              </w:rPr>
              <w:t xml:space="preserve">In Q5.4, describe at least one element of the company’s approach to assessing or monitoring pay gaps — for example, whether pay equity audits are conducted or how the CEO pay ratio is reviewed. In Q5.5a, select which worker categories are eligible for the </w:t>
            </w:r>
            <w:r>
              <w:rPr>
                <w:i/>
                <w:iCs/>
                <w:color w:val="1A1A1A"/>
                <w:sz w:val="17"/>
                <w:szCs w:val="17"/>
              </w:rPr>
              <w:lastRenderedPageBreak/>
              <w:t>non-pay benefits reported in Q5.5.</w:t>
            </w:r>
          </w:p>
        </w:tc>
      </w:tr>
      <w:tr w:rsidR="00567B9B" w14:paraId="4CAD1EB1" w14:textId="77777777" w:rsidTr="012DFB4D">
        <w:tc>
          <w:tcPr>
            <w:tcW w:w="6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AB" w14:textId="77777777" w:rsidR="00567B9B" w:rsidRDefault="00554E59">
            <w:pPr>
              <w:spacing w:before="20" w:after="20"/>
              <w:jc w:val="center"/>
            </w:pPr>
            <w:r>
              <w:rPr>
                <w:b/>
                <w:bCs/>
                <w:color w:val="1A1A1A"/>
                <w:sz w:val="17"/>
                <w:szCs w:val="17"/>
              </w:rPr>
              <w:lastRenderedPageBreak/>
              <w:t>13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AC" w14:textId="77777777" w:rsidR="00567B9B" w:rsidRDefault="00554E59">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AD" w14:textId="77777777" w:rsidR="00567B9B" w:rsidRDefault="00554E59">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AE" w14:textId="77777777" w:rsidR="00567B9B" w:rsidRDefault="00554E59">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4CAD1EAF" w14:textId="77777777" w:rsidR="00567B9B" w:rsidRDefault="00554E59">
            <w:pPr>
              <w:spacing w:before="20" w:after="20"/>
            </w:pPr>
            <w:r>
              <w:rPr>
                <w:color w:val="1A1A1A"/>
                <w:sz w:val="18"/>
                <w:szCs w:val="18"/>
              </w:rPr>
              <w:t>OR across sources: Q5.4 mentions that pay gap assessment or monitoring occurs but without describing the process (e.g., “we monitor our gender pay gap annually” without stating how, what triggers action, or what the governance structure is); OR Q5.5a selects only one worker category for benefit eligibility with no additional detail.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4CAD1EB0" w14:textId="77777777" w:rsidR="00567B9B" w:rsidRDefault="00554E59">
            <w:pPr>
              <w:spacing w:before="20" w:after="20"/>
            </w:pPr>
            <w:r>
              <w:rPr>
                <w:i/>
                <w:iCs/>
                <w:color w:val="1A1A1A"/>
                <w:sz w:val="17"/>
                <w:szCs w:val="17"/>
              </w:rPr>
              <w:t>Describe HOW pay gap assessment is conducted — what process is used, how often, and what governance oversees the outcomes. In Q5.5a, expand the worker category coverage and add detail where eligibility differs by benefit type, geography, or contract type.</w:t>
            </w:r>
          </w:p>
        </w:tc>
      </w:tr>
      <w:tr w:rsidR="00567B9B" w14:paraId="4CAD1EB8" w14:textId="77777777" w:rsidTr="012DFB4D">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CAD1EB2" w14:textId="77777777" w:rsidR="00567B9B" w:rsidRDefault="00554E59">
            <w:pPr>
              <w:spacing w:before="20" w:after="20"/>
              <w:jc w:val="center"/>
            </w:pPr>
            <w:r>
              <w:rPr>
                <w:b/>
                <w:bCs/>
                <w:color w:val="1A1A1A"/>
                <w:sz w:val="17"/>
                <w:szCs w:val="17"/>
              </w:rPr>
              <w:t>13</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CAD1EB3" w14:textId="77777777" w:rsidR="00567B9B" w:rsidRDefault="00554E59">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CAD1EB4" w14:textId="77777777" w:rsidR="00567B9B" w:rsidRDefault="00554E59">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CAD1EB5" w14:textId="77777777" w:rsidR="00567B9B" w:rsidRDefault="00554E59">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CAD1EB6" w14:textId="77777777" w:rsidR="00567B9B" w:rsidRDefault="00554E59">
            <w:pPr>
              <w:spacing w:before="20" w:after="20"/>
            </w:pPr>
            <w:r>
              <w:rPr>
                <w:color w:val="1A1A1A"/>
                <w:sz w:val="18"/>
                <w:szCs w:val="18"/>
              </w:rPr>
              <w:t>OR across sources: Q5.4 describes a pay gap assessment or monitoring process with some specificity (names a process such as an annual audit or pay equity review, or states the monitoring cadence) but does not describe the governance and controls that sustain outcomes or the triggers for further action; OR Q5.5a selects multiple worker categories but no additional detail is provided on differences in eligibility by benefit type or geography.</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CAD1EB7" w14:textId="77777777" w:rsidR="00567B9B" w:rsidRDefault="00554E59">
            <w:pPr>
              <w:spacing w:before="20" w:after="20"/>
            </w:pPr>
            <w:r>
              <w:rPr>
                <w:i/>
                <w:iCs/>
                <w:color w:val="1A1A1A"/>
                <w:sz w:val="17"/>
                <w:szCs w:val="17"/>
              </w:rPr>
              <w:t>Add governance detail to Q5.4: describe who is responsible for pay equity oversight, what happens when gaps are found to be inequitable, and what controls maintain equitable outcomes where gaps are considered fair. In Q5.5a, add text detail where eligibility varies by benefit, contract type, geography, or business unit.</w:t>
            </w:r>
          </w:p>
        </w:tc>
      </w:tr>
      <w:tr w:rsidR="00567B9B" w14:paraId="4CAD1EBF" w14:textId="77777777" w:rsidTr="012DFB4D">
        <w:tc>
          <w:tcPr>
            <w:tcW w:w="6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B9" w14:textId="77777777" w:rsidR="00567B9B" w:rsidRDefault="00554E59">
            <w:pPr>
              <w:spacing w:before="20" w:after="20"/>
              <w:jc w:val="center"/>
            </w:pPr>
            <w:r>
              <w:rPr>
                <w:b/>
                <w:bCs/>
                <w:color w:val="1A1A1A"/>
                <w:sz w:val="17"/>
                <w:szCs w:val="17"/>
              </w:rPr>
              <w:t>13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BA" w14:textId="77777777" w:rsidR="00567B9B" w:rsidRDefault="00554E59">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BB" w14:textId="77777777" w:rsidR="00567B9B" w:rsidRDefault="00554E59">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BC" w14:textId="77777777" w:rsidR="00567B9B" w:rsidRDefault="00554E59">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4CAD1EBD" w14:textId="77777777" w:rsidR="00567B9B" w:rsidRDefault="00554E59">
            <w:pPr>
              <w:spacing w:before="20" w:after="20"/>
            </w:pPr>
            <w:r>
              <w:rPr>
                <w:color w:val="1A1A1A"/>
                <w:sz w:val="18"/>
                <w:szCs w:val="18"/>
              </w:rPr>
              <w:t>OR across sources: Q5.4 describes a substantive pay gap assessment/monitoring system including the process used (type of audit or review), monitoring cadence (how often), and at least one of: governance structure OR what happens when gaps are found inequitable OR controls that sustain equitable outcomes; OR Q5.5a selects most applicable worker categories with additional detail explaining where eligibility differs. Strength in either source reaches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4CAD1EBE" w14:textId="77777777" w:rsidR="00567B9B" w:rsidRDefault="00554E59">
            <w:pPr>
              <w:spacing w:before="20" w:after="20"/>
            </w:pPr>
            <w:r>
              <w:rPr>
                <w:i/>
                <w:iCs/>
                <w:color w:val="1A1A1A"/>
                <w:sz w:val="17"/>
                <w:szCs w:val="17"/>
              </w:rPr>
              <w:t>For score 5 (AND): ensure both Q5.4’s assessment/monitoring description and Q5.5a’s worker category coverage are both strong independently. Q5.4 must address process, cadence, governance, and how gaps are treated when found inequitable or equitable. Q5.5a must cover all applicable worker categories with eligibility detail.</w:t>
            </w:r>
          </w:p>
        </w:tc>
      </w:tr>
      <w:tr w:rsidR="00567B9B" w14:paraId="4CAD1EC6" w14:textId="77777777" w:rsidTr="012DFB4D">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CAD1EC0" w14:textId="77777777" w:rsidR="00567B9B" w:rsidRDefault="00554E59">
            <w:pPr>
              <w:spacing w:before="20" w:after="20"/>
              <w:jc w:val="center"/>
            </w:pPr>
            <w:r>
              <w:rPr>
                <w:b/>
                <w:bCs/>
                <w:color w:val="1A1A1A"/>
                <w:sz w:val="17"/>
                <w:szCs w:val="17"/>
              </w:rPr>
              <w:t>13</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CAD1EC1" w14:textId="77777777" w:rsidR="00567B9B" w:rsidRDefault="00554E59">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CAD1EC2" w14:textId="77777777" w:rsidR="00567B9B" w:rsidRDefault="00554E59">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CAD1EC3" w14:textId="77777777" w:rsidR="00567B9B" w:rsidRDefault="00554E59">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CAD1EC4" w14:textId="77777777" w:rsidR="00567B9B" w:rsidRDefault="00554E59">
            <w:pPr>
              <w:spacing w:before="20" w:after="20"/>
            </w:pPr>
            <w:r>
              <w:rPr>
                <w:color w:val="1A1A1A"/>
                <w:sz w:val="18"/>
                <w:szCs w:val="18"/>
              </w:rPr>
              <w:t xml:space="preserve">AND across both sources: Q5.4 AND Q5.5a must both independently meet the leading standard. Q5.4 must describe: the process for assessing reasons for pay gaps (e.g., type of audit, analytical approach to identifying drivers); the monitoring cadence (how often assessed); governance and controls (who is responsible, what oversight exists); AND the treatment of gaps — if inequitable, how investigation and remediation are triggered; if equitable, what controls sustain those outcomes and what ongoing tracking is </w:t>
            </w:r>
            <w:r>
              <w:rPr>
                <w:color w:val="1A1A1A"/>
                <w:sz w:val="18"/>
                <w:szCs w:val="18"/>
              </w:rPr>
              <w:t>maintained. Q5.5a must cover all applicable worker categories with clear additional detail on where eligibility differs by benefit type, geography, or business unit.</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CAD1EC5" w14:textId="77777777" w:rsidR="00567B9B" w:rsidRDefault="00554E59">
            <w:pPr>
              <w:spacing w:before="20" w:after="20"/>
            </w:pPr>
            <w:r>
              <w:rPr>
                <w:i/>
                <w:iCs/>
                <w:color w:val="1A1A1A"/>
                <w:sz w:val="17"/>
                <w:szCs w:val="17"/>
              </w:rPr>
              <w:t>Highest level achieved. Maintain comprehensive pay equity governance and update as the monitoring system evolves.</w:t>
            </w:r>
          </w:p>
        </w:tc>
      </w:tr>
      <w:tr w:rsidR="00567B9B" w14:paraId="4CAD1ECD" w14:textId="77777777" w:rsidTr="012DFB4D">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CAD1EC7" w14:textId="77777777" w:rsidR="00567B9B" w:rsidRDefault="00554E59">
            <w:pPr>
              <w:spacing w:before="20" w:after="20"/>
              <w:jc w:val="center"/>
            </w:pPr>
            <w:r>
              <w:rPr>
                <w:b/>
                <w:bCs/>
                <w:color w:val="1A1A1A"/>
                <w:sz w:val="17"/>
                <w:szCs w:val="17"/>
              </w:rPr>
              <w:t>13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CAD1EC8" w14:textId="77777777" w:rsidR="00567B9B" w:rsidRDefault="00554E59">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CAD1EC9" w14:textId="77777777" w:rsidR="00567B9B" w:rsidRDefault="00554E59">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CAD1ECA" w14:textId="77777777" w:rsidR="00567B9B" w:rsidRDefault="00554E59">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CAD1ECB" w14:textId="77777777" w:rsidR="00567B9B" w:rsidRDefault="00554E59">
            <w:pPr>
              <w:spacing w:before="20" w:after="20"/>
            </w:pPr>
            <w:r>
              <w:rPr>
                <w:color w:val="1A1A1A"/>
                <w:sz w:val="18"/>
                <w:szCs w:val="18"/>
              </w:rPr>
              <w:t xml:space="preserve">AND across all sources: no ratio or gap figure is provided in any of Q5.1, Q5.2, or Q5.3 (all blank, without legal-exception </w:t>
            </w:r>
            <w:r>
              <w:rPr>
                <w:color w:val="1A1A1A"/>
                <w:sz w:val="18"/>
                <w:szCs w:val="18"/>
              </w:rPr>
              <w:lastRenderedPageBreak/>
              <w:t>explanations); Q5.4 has no targets/KPIs and no actions described; AND Q5.5 has no benefits selected. The company provides no quantitative pay evidence, no action commitments, and no non-pay benefit disclosure.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CAD1ECC" w14:textId="77777777" w:rsidR="00567B9B" w:rsidRDefault="00554E59">
            <w:pPr>
              <w:spacing w:before="20" w:after="20"/>
            </w:pPr>
            <w:r>
              <w:rPr>
                <w:i/>
                <w:iCs/>
                <w:color w:val="1A1A1A"/>
                <w:sz w:val="17"/>
                <w:szCs w:val="17"/>
              </w:rPr>
              <w:lastRenderedPageBreak/>
              <w:t xml:space="preserve">Begin with Q5.5: select at least one non-pay benefit from the dropdown as the lowest-friction starting point. Then provide the </w:t>
            </w:r>
            <w:r>
              <w:rPr>
                <w:i/>
                <w:iCs/>
                <w:color w:val="1A1A1A"/>
                <w:sz w:val="17"/>
                <w:szCs w:val="17"/>
              </w:rPr>
              <w:lastRenderedPageBreak/>
              <w:t>CEO-to-median pay ratio in Q5.1 with a brief scope explanation.</w:t>
            </w:r>
          </w:p>
        </w:tc>
      </w:tr>
      <w:tr w:rsidR="00567B9B" w14:paraId="4CAD1ED4" w14:textId="77777777" w:rsidTr="012DFB4D">
        <w:tc>
          <w:tcPr>
            <w:tcW w:w="6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CE" w14:textId="77777777" w:rsidR="00567B9B" w:rsidRDefault="00554E59">
            <w:pPr>
              <w:spacing w:before="20" w:after="20"/>
              <w:jc w:val="center"/>
            </w:pPr>
            <w:r>
              <w:rPr>
                <w:b/>
                <w:bCs/>
                <w:color w:val="1A1A1A"/>
                <w:sz w:val="17"/>
                <w:szCs w:val="17"/>
              </w:rPr>
              <w:lastRenderedPageBreak/>
              <w:t>13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CF" w14:textId="77777777" w:rsidR="00567B9B" w:rsidRDefault="00554E59">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D0" w14:textId="77777777" w:rsidR="00567B9B" w:rsidRDefault="00554E59">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D1" w14:textId="77777777" w:rsidR="00567B9B" w:rsidRDefault="00554E59">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4CAD1ED2" w14:textId="77777777" w:rsidR="00567B9B" w:rsidRDefault="00554E59">
            <w:pPr>
              <w:spacing w:before="20" w:after="20"/>
            </w:pPr>
            <w:r>
              <w:rPr>
                <w:color w:val="1A1A1A"/>
                <w:sz w:val="18"/>
                <w:szCs w:val="18"/>
              </w:rPr>
              <w:t xml:space="preserve">OR across sources: at least one of the following: </w:t>
            </w:r>
            <w:r>
              <w:rPr>
                <w:color w:val="1A1A1A"/>
                <w:sz w:val="18"/>
                <w:szCs w:val="18"/>
              </w:rPr>
              <w:t xml:space="preserve">Q5.1 provides the CEO pay ratio figure (even without an explanation); OR Q5.2 provides the gender pay gap percentage (even without a methodology explanation); OR Q5.5 selects at least one non-pay benefit. These </w:t>
            </w:r>
            <w:r>
              <w:rPr>
                <w:color w:val="1A1A1A"/>
                <w:sz w:val="18"/>
                <w:szCs w:val="18"/>
              </w:rPr>
              <w:t>are the minimum disclosure thresholds — a figure alone without explanation, or a benefit selection without detail, reaches score 1 but no higher.</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4CAD1ED3" w14:textId="77777777" w:rsidR="00567B9B" w:rsidRDefault="00554E59">
            <w:pPr>
              <w:spacing w:before="20" w:after="20"/>
            </w:pPr>
            <w:r>
              <w:rPr>
                <w:i/>
                <w:iCs/>
                <w:color w:val="1A1A1A"/>
                <w:sz w:val="17"/>
                <w:szCs w:val="17"/>
              </w:rPr>
              <w:t>Add explanation to any ratio or gap figure already provided: describe the scope (domestic/global) and the methodology used to calculate it. Provide Q5.4 with at least one action taken or a KPI targeting a specific pay gap.</w:t>
            </w:r>
          </w:p>
        </w:tc>
      </w:tr>
      <w:tr w:rsidR="00567B9B" w14:paraId="4CAD1EDB" w14:textId="77777777" w:rsidTr="012DFB4D">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CAD1ED5" w14:textId="77777777" w:rsidR="00567B9B" w:rsidRDefault="00554E59">
            <w:pPr>
              <w:spacing w:before="20" w:after="20"/>
              <w:jc w:val="center"/>
            </w:pPr>
            <w:r>
              <w:rPr>
                <w:b/>
                <w:bCs/>
                <w:color w:val="1A1A1A"/>
                <w:sz w:val="17"/>
                <w:szCs w:val="17"/>
              </w:rPr>
              <w:t>13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CAD1ED6" w14:textId="77777777" w:rsidR="00567B9B" w:rsidRDefault="00554E59">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CAD1ED7" w14:textId="77777777" w:rsidR="00567B9B" w:rsidRDefault="00554E59">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CAD1ED8" w14:textId="77777777" w:rsidR="00567B9B" w:rsidRDefault="00554E59">
            <w:pPr>
              <w:spacing w:before="20" w:after="20"/>
            </w:pPr>
            <w:r>
              <w:rPr>
                <w:i/>
                <w:iCs/>
                <w:color w:val="1A1A1A"/>
                <w:sz w:val="17"/>
                <w:szCs w:val="17"/>
              </w:rPr>
              <w:t>Basic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CAD1ED9" w14:textId="77777777" w:rsidR="00567B9B" w:rsidRDefault="00554E59">
            <w:pPr>
              <w:spacing w:before="20" w:after="20"/>
            </w:pPr>
            <w:r>
              <w:rPr>
                <w:color w:val="1A1A1A"/>
                <w:sz w:val="18"/>
                <w:szCs w:val="18"/>
              </w:rPr>
              <w:t>OR across sources: at least one pay ratio or gap figure (Q5.1, Q5.2, or Q5.3) is provided WITH at least a partial explanation (covers scope OR methodology, but not both); OR Q5.4 mentions actions underway or targets without specifying which gaps they target or providing a timeline; OR Q5.5 selects multiple benefits. A company reaching this level has more than minimal disclosure but has gaps in completeness or methodology transparency.</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CAD1EDA" w14:textId="77777777" w:rsidR="00567B9B" w:rsidRDefault="00554E59">
            <w:pPr>
              <w:spacing w:before="20" w:after="20"/>
            </w:pPr>
            <w:r>
              <w:rPr>
                <w:i/>
                <w:iCs/>
                <w:color w:val="1A1A1A"/>
                <w:sz w:val="17"/>
                <w:szCs w:val="17"/>
              </w:rPr>
              <w:t>For each ratio/gap figure provided: ensure the explanation covers BOTH scope (domestic or global, methodology note) AND methodology (how the figure was calculated). In Q5.4, name which specific gaps are targeted by KPIs and add timelines. Provide Q5.3 or a valid legal-exception explanation if not yet done.</w:t>
            </w:r>
          </w:p>
        </w:tc>
      </w:tr>
      <w:tr w:rsidR="00567B9B" w14:paraId="4CAD1EE2" w14:textId="77777777" w:rsidTr="012DFB4D">
        <w:tc>
          <w:tcPr>
            <w:tcW w:w="6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DC" w14:textId="77777777" w:rsidR="00567B9B" w:rsidRDefault="00554E59">
            <w:pPr>
              <w:spacing w:before="20" w:after="20"/>
              <w:jc w:val="center"/>
            </w:pPr>
            <w:r>
              <w:rPr>
                <w:b/>
                <w:bCs/>
                <w:color w:val="1A1A1A"/>
                <w:sz w:val="17"/>
                <w:szCs w:val="17"/>
              </w:rPr>
              <w:t>13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DD" w14:textId="77777777" w:rsidR="00567B9B" w:rsidRDefault="00554E59">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DE" w14:textId="77777777" w:rsidR="00567B9B" w:rsidRDefault="00554E59">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CAD1EDF" w14:textId="77777777" w:rsidR="00567B9B" w:rsidRDefault="00554E59">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4CAD1EE0" w14:textId="02E98ED4" w:rsidR="00567B9B" w:rsidRDefault="7EF76201">
            <w:pPr>
              <w:spacing w:before="20" w:after="20"/>
            </w:pPr>
            <w:r w:rsidRPr="012DFB4D">
              <w:rPr>
                <w:color w:val="1A1A1A"/>
                <w:sz w:val="18"/>
                <w:szCs w:val="18"/>
              </w:rPr>
              <w:t xml:space="preserve">OR across sources: at least two of the </w:t>
            </w:r>
            <w:r w:rsidR="1418A389" w:rsidRPr="012DFB4D">
              <w:rPr>
                <w:color w:val="1A1A1A"/>
                <w:sz w:val="18"/>
                <w:szCs w:val="18"/>
              </w:rPr>
              <w:t>four</w:t>
            </w:r>
            <w:r w:rsidRPr="012DFB4D">
              <w:rPr>
                <w:color w:val="1A1A1A"/>
                <w:sz w:val="18"/>
                <w:szCs w:val="18"/>
              </w:rPr>
              <w:t xml:space="preserve"> pay metrics (Q5.1, Q5.2, Q5.3</w:t>
            </w:r>
            <w:r w:rsidR="49057798" w:rsidRPr="012DFB4D">
              <w:rPr>
                <w:color w:val="1A1A1A"/>
                <w:sz w:val="18"/>
                <w:szCs w:val="18"/>
              </w:rPr>
              <w:t>, Q5.5</w:t>
            </w:r>
            <w:r w:rsidRPr="012DFB4D">
              <w:rPr>
                <w:color w:val="1A1A1A"/>
                <w:sz w:val="18"/>
                <w:szCs w:val="18"/>
              </w:rPr>
              <w:t>) are provided with explanations covering both scope and methodology (or a valid legal exception for Q5.3); OR Q5.4 includes at least one measurable, time-bound target specifying which gap it targets, plus a description of actions taken or underway; A company with Q5.1 and Q5.2 both well-explained plus a basic Q5.4 reaches this level via OR.</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4CAD1EE1" w14:textId="77777777" w:rsidR="00567B9B" w:rsidRDefault="00554E59">
            <w:pPr>
              <w:spacing w:before="20" w:after="20"/>
            </w:pPr>
            <w:r>
              <w:rPr>
                <w:i/>
                <w:iCs/>
                <w:color w:val="1A1A1A"/>
                <w:sz w:val="17"/>
                <w:szCs w:val="17"/>
              </w:rPr>
              <w:t xml:space="preserve">Complete all </w:t>
            </w:r>
            <w:proofErr w:type="gramStart"/>
            <w:r>
              <w:rPr>
                <w:i/>
                <w:iCs/>
                <w:color w:val="1A1A1A"/>
                <w:sz w:val="17"/>
                <w:szCs w:val="17"/>
              </w:rPr>
              <w:t>three pay</w:t>
            </w:r>
            <w:proofErr w:type="gramEnd"/>
            <w:r>
              <w:rPr>
                <w:i/>
                <w:iCs/>
                <w:color w:val="1A1A1A"/>
                <w:sz w:val="17"/>
                <w:szCs w:val="17"/>
              </w:rPr>
              <w:t xml:space="preserve"> metrics (Q5.1, Q5.2, Q5.3) with full scope and methodology explanations. Strengthen Q5.4 to include multiple time-bound targets covering different gap types and specific actions taken with measurable outcomes. For score 5, AND logic applies — all five sources must independently meet the standard.</w:t>
            </w:r>
          </w:p>
        </w:tc>
      </w:tr>
      <w:tr w:rsidR="00567B9B" w14:paraId="4CAD1EE9" w14:textId="77777777" w:rsidTr="012DFB4D">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CAD1EE3" w14:textId="77777777" w:rsidR="00567B9B" w:rsidRDefault="00554E59">
            <w:pPr>
              <w:spacing w:before="20" w:after="20"/>
              <w:jc w:val="center"/>
            </w:pPr>
            <w:r>
              <w:rPr>
                <w:b/>
                <w:bCs/>
                <w:color w:val="1A1A1A"/>
                <w:sz w:val="17"/>
                <w:szCs w:val="17"/>
              </w:rPr>
              <w:t>13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CAD1EE4" w14:textId="77777777" w:rsidR="00567B9B" w:rsidRDefault="00554E59">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CAD1EE5" w14:textId="77777777" w:rsidR="00567B9B" w:rsidRDefault="00554E59">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CAD1EE6" w14:textId="77777777" w:rsidR="00567B9B" w:rsidRDefault="00554E59">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CAD1EE7" w14:textId="77777777" w:rsidR="00567B9B" w:rsidRDefault="00554E59">
            <w:pPr>
              <w:spacing w:before="20" w:after="20"/>
            </w:pPr>
            <w:r>
              <w:rPr>
                <w:color w:val="1A1A1A"/>
                <w:sz w:val="18"/>
                <w:szCs w:val="18"/>
              </w:rPr>
              <w:t>AND across all sources: Q5.1 AND Q5.2 must each provide the figure AND a full explanation covering scope and methodology. Q5.3 must provide the figure with explanation OR a valid legal-exception explanation where applicable. Q5.4 must include measurable, time-bound targets specifying which pay gaps are targeted (CEO ratio, gender pay gap, ethnicity pay gap, or other), AND evidence of actions taken or underway, AND — where gaps are considered equitable — information on steps to maintain those levels. Q5.5 mu</w:t>
            </w:r>
            <w:r>
              <w:rPr>
                <w:color w:val="1A1A1A"/>
                <w:sz w:val="18"/>
                <w:szCs w:val="18"/>
              </w:rPr>
              <w:t xml:space="preserve">st have multiple benefits selected with additional details on availability and scope. A company missing any one of these — for example Q5.3 blank without a legal exception, or Q5.4 </w:t>
            </w:r>
            <w:r>
              <w:rPr>
                <w:color w:val="1A1A1A"/>
                <w:sz w:val="18"/>
                <w:szCs w:val="18"/>
              </w:rPr>
              <w:lastRenderedPageBreak/>
              <w:t>with targets but no action description — cannot reach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CAD1EE8" w14:textId="77777777" w:rsidR="00567B9B" w:rsidRDefault="00554E59">
            <w:pPr>
              <w:spacing w:before="20" w:after="20"/>
            </w:pPr>
            <w:r>
              <w:rPr>
                <w:i/>
                <w:iCs/>
                <w:color w:val="1A1A1A"/>
                <w:sz w:val="17"/>
                <w:szCs w:val="17"/>
              </w:rPr>
              <w:lastRenderedPageBreak/>
              <w:t>Highest level achieved. Maintain comprehensive pay metric disclosure and continue providing updated figures, explanation, and action evidence annually.</w:t>
            </w:r>
          </w:p>
        </w:tc>
      </w:tr>
    </w:tbl>
    <w:p w14:paraId="4CAD1EEA" w14:textId="77777777" w:rsidR="00567B9B" w:rsidRDefault="00567B9B">
      <w:pPr>
        <w:pBdr>
          <w:bottom w:val="single" w:sz="4" w:space="1" w:color="D9D9D9"/>
        </w:pBdr>
        <w:spacing w:before="240" w:after="240"/>
      </w:pPr>
    </w:p>
    <w:p w14:paraId="4CAD1EEB" w14:textId="77777777" w:rsidR="00567B9B" w:rsidRDefault="00554E59">
      <w:pPr>
        <w:pStyle w:val="Heading1"/>
        <w:spacing w:before="360" w:after="160"/>
      </w:pPr>
      <w:r>
        <w:rPr>
          <w:b/>
          <w:bCs/>
          <w:color w:val="1F3864"/>
          <w:sz w:val="34"/>
          <w:szCs w:val="34"/>
        </w:rPr>
        <w:t>4. Score Calculation</w:t>
      </w:r>
    </w:p>
    <w:p w14:paraId="4CAD1EEC" w14:textId="77777777" w:rsidR="00567B9B" w:rsidRDefault="00554E59">
      <w:pPr>
        <w:spacing w:before="80" w:after="80"/>
      </w:pPr>
      <w:r>
        <w:rPr>
          <w:color w:val="1A1A1A"/>
        </w:rPr>
        <w:t>Once Approach and Action sub-scores are assigned, the composite topic score is calculated using equal weighting across the two dimensions.</w:t>
      </w:r>
    </w:p>
    <w:p w14:paraId="4CAD1EED" w14:textId="77777777" w:rsidR="00567B9B" w:rsidRDefault="00554E59">
      <w:pPr>
        <w:pStyle w:val="Heading2"/>
        <w:spacing w:before="280" w:after="120"/>
      </w:pPr>
      <w:proofErr w:type="gramStart"/>
      <w:r>
        <w:rPr>
          <w:b/>
          <w:bCs/>
          <w:color w:val="2E75B6"/>
        </w:rPr>
        <w:t>4.1  Formulas</w:t>
      </w:r>
      <w:proofErr w:type="gramEnd"/>
    </w:p>
    <w:p w14:paraId="4CAD1EEE" w14:textId="77777777" w:rsidR="00567B9B" w:rsidRDefault="00554E59">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(Approach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Action)  ÷</w:t>
      </w:r>
      <w:proofErr w:type="gramEnd"/>
      <w:r>
        <w:rPr>
          <w:rFonts w:ascii="Courier New" w:eastAsia="Courier New" w:hAnsi="Courier New" w:cs="Courier New"/>
          <w:b/>
          <w:bCs/>
          <w:color w:val="1F3864"/>
        </w:rPr>
        <w:t xml:space="preserve">  2</w:t>
      </w:r>
    </w:p>
    <w:p w14:paraId="4CAD1EEF" w14:textId="77777777" w:rsidR="00567B9B" w:rsidRDefault="00554E59">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4CAD1EF0" w14:textId="77777777" w:rsidR="00567B9B" w:rsidRDefault="00554E59">
      <w:pPr>
        <w:spacing w:before="80" w:after="60"/>
      </w:pPr>
      <w:r>
        <w:rPr>
          <w:i/>
          <w:iCs/>
          <w:color w:val="666666"/>
          <w:sz w:val="17"/>
          <w:szCs w:val="17"/>
        </w:rPr>
        <w:t>All reported topic scores are on the 0–100 scale. Each dimension carries equal weight (50%). There is no Awareness dimension for this topic.</w:t>
      </w:r>
    </w:p>
    <w:p w14:paraId="4CAD1EF1" w14:textId="77777777" w:rsidR="00567B9B" w:rsidRDefault="00554E59">
      <w:pPr>
        <w:pStyle w:val="Heading2"/>
        <w:spacing w:before="280" w:after="120"/>
      </w:pPr>
      <w:proofErr w:type="gramStart"/>
      <w:r>
        <w:rPr>
          <w:b/>
          <w:bCs/>
          <w:color w:val="2E75B6"/>
        </w:rPr>
        <w:t>4.2  Worked</w:t>
      </w:r>
      <w:proofErr w:type="gramEnd"/>
      <w:r>
        <w:rPr>
          <w:b/>
          <w:bCs/>
          <w:color w:val="2E75B6"/>
        </w:rPr>
        <w:t xml:space="preserve"> Examples</w:t>
      </w:r>
    </w:p>
    <w:p w14:paraId="4CAD1EF2" w14:textId="77777777" w:rsidR="00567B9B" w:rsidRDefault="00554E59">
      <w:pPr>
        <w:spacing w:before="80" w:after="80"/>
      </w:pPr>
      <w:r>
        <w:rPr>
          <w:b/>
          <w:bCs/>
          <w:color w:val="2E75B6"/>
        </w:rPr>
        <w:t>Example A: Comprehensive pay equity disclosure</w:t>
      </w:r>
    </w:p>
    <w:p w14:paraId="4CAD1EF3" w14:textId="77777777" w:rsidR="00567B9B" w:rsidRDefault="00554E59">
      <w:pPr>
        <w:spacing w:before="80" w:after="80"/>
      </w:pPr>
      <w:r>
        <w:rPr>
          <w:color w:val="1A1A1A"/>
        </w:rPr>
        <w:t>A company responds as follows:</w:t>
      </w:r>
    </w:p>
    <w:p w14:paraId="4CAD1EF4" w14:textId="77777777" w:rsidR="00567B9B" w:rsidRDefault="00554E59">
      <w:pPr>
        <w:spacing w:before="80" w:after="80"/>
      </w:pPr>
      <w:r>
        <w:rPr>
          <w:color w:val="1A1A1A"/>
          <w:sz w:val="19"/>
          <w:szCs w:val="19"/>
        </w:rPr>
        <w:t>Q5.1: CEO-to-median ratio: 87:1. Explanation: “Ratio calculated using total annual compensation (base salary, performance bonus, LTIP vesting, and taxable benefits) for our CEO against the median total annual compensation of all global employees. Methodology aligned with GRI 102-38. Excludes contractor workforce. Based on 31 December 2025 payroll data.”</w:t>
      </w:r>
    </w:p>
    <w:p w14:paraId="4CAD1EF5" w14:textId="77777777" w:rsidR="00567B9B" w:rsidRDefault="00554E59">
      <w:pPr>
        <w:spacing w:before="80" w:after="80"/>
      </w:pPr>
      <w:r>
        <w:rPr>
          <w:color w:val="1A1A1A"/>
          <w:sz w:val="19"/>
          <w:szCs w:val="19"/>
        </w:rPr>
        <w:t>Q5.2: Gender pay gap: 12.3% (median). Explanation: “Difference between median hourly pay for male and female employees as % of median male hourly pay, consistent with UK Gender Pay Gap Reporting methodology. Covers UK employees only (3,400 employees). Where hourly rate not directly applicable (e.g., salaried employees), annualised salary divided by contracted hours used.”</w:t>
      </w:r>
    </w:p>
    <w:p w14:paraId="4CAD1EF6" w14:textId="77777777" w:rsidR="00567B9B" w:rsidRDefault="00554E59">
      <w:pPr>
        <w:spacing w:before="80" w:after="80"/>
      </w:pPr>
      <w:r>
        <w:rPr>
          <w:color w:val="1A1A1A"/>
          <w:sz w:val="19"/>
          <w:szCs w:val="19"/>
        </w:rPr>
        <w:t>Q5.3: Ethnicity pay gap: 8.7% (median). Explanation: “Difference between median hourly pay of ethnic minority vs ethnic majority employees, using the same UK GPG methodology. Covers UK employees only. Employee self-identification data used; 82% response rate in 2024 survey.”</w:t>
      </w:r>
    </w:p>
    <w:p w14:paraId="4CAD1EF7" w14:textId="77777777" w:rsidR="00567B9B" w:rsidRDefault="00554E59">
      <w:pPr>
        <w:spacing w:before="80" w:after="80"/>
      </w:pPr>
      <w:r>
        <w:rPr>
          <w:color w:val="1A1A1A"/>
          <w:sz w:val="19"/>
          <w:szCs w:val="19"/>
        </w:rPr>
        <w:t xml:space="preserve">Q5.4: “We conduct an annual pay equity audit (gender, ethnicity, and role level) each February, overseen by the Remuneration Committee. Where the audit identifies unexplained gaps (defined as &gt;5% after controlling for role, level, and location), a remediation plan is initiated within 60 days. Targets: (1) reduce gender pay gap from 12.3% to below 10% by 2027 — currently tracking on plan; (2) reduce ethnicity pay gap from 8.7% to below 7% by 2026. Actions taken in 2024: salary uplift programme for 47 female </w:t>
      </w:r>
      <w:r>
        <w:rPr>
          <w:color w:val="1A1A1A"/>
          <w:sz w:val="19"/>
          <w:szCs w:val="19"/>
        </w:rPr>
        <w:t>employees in mid-level roles (£320k total investment); targeted recruitment for ethnic minority candidates in senior roles (9 hires in 2024); mandatory pay equity training for all line managers.”</w:t>
      </w:r>
    </w:p>
    <w:p w14:paraId="4CAD1EF8" w14:textId="77777777" w:rsidR="00567B9B" w:rsidRDefault="00554E59">
      <w:pPr>
        <w:spacing w:before="80" w:after="80"/>
      </w:pPr>
      <w:r>
        <w:rPr>
          <w:color w:val="1A1A1A"/>
          <w:sz w:val="19"/>
          <w:szCs w:val="19"/>
        </w:rPr>
        <w:t xml:space="preserve">Q5.5: Training budget, Commercial insurance, Wellbeing subsidy selected. Additional details: “All three benefits are available to all full-time permanent and fixed-term employees globally. Part-time employees receive training budget on a pro-rata basis. Wellbeing subsidy (up to £500/year) is available in UK and Germany only.” Q5.5a: Full-time/permanent, </w:t>
      </w:r>
      <w:proofErr w:type="gramStart"/>
      <w:r>
        <w:rPr>
          <w:color w:val="1A1A1A"/>
          <w:sz w:val="19"/>
          <w:szCs w:val="19"/>
        </w:rPr>
        <w:t>Fixed-term</w:t>
      </w:r>
      <w:proofErr w:type="gramEnd"/>
      <w:r>
        <w:rPr>
          <w:color w:val="1A1A1A"/>
          <w:sz w:val="19"/>
          <w:szCs w:val="19"/>
        </w:rPr>
        <w:t>/temporary, Part-time all selected. Additional detail: “Part-time employees receive training budget pro-rata; all other benefits apply equally.”</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567B9B" w14:paraId="4CAD1EFC" w14:textId="77777777">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CAD1EF9" w14:textId="77777777" w:rsidR="00567B9B" w:rsidRDefault="00554E59">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CAD1EFA" w14:textId="77777777" w:rsidR="00567B9B" w:rsidRDefault="00554E59">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CAD1EFB" w14:textId="77777777" w:rsidR="00567B9B" w:rsidRDefault="00554E59">
            <w:pPr>
              <w:jc w:val="center"/>
            </w:pPr>
            <w:r>
              <w:rPr>
                <w:b/>
                <w:bCs/>
                <w:color w:val="FFFFFF"/>
                <w:sz w:val="16"/>
                <w:szCs w:val="16"/>
              </w:rPr>
              <w:t>Calculation</w:t>
            </w:r>
          </w:p>
        </w:tc>
      </w:tr>
      <w:tr w:rsidR="00567B9B" w14:paraId="4CAD1F00" w14:textId="77777777">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CAD1EFD" w14:textId="77777777" w:rsidR="00567B9B" w:rsidRDefault="00554E59">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CAD1EFE" w14:textId="77777777" w:rsidR="00567B9B" w:rsidRDefault="00554E59">
            <w:pPr>
              <w:spacing w:before="20" w:after="20"/>
            </w:pPr>
            <w:r>
              <w:rPr>
                <w:color w:val="1A1A1A"/>
                <w:sz w:val="18"/>
                <w:szCs w:val="18"/>
              </w:rPr>
              <w:t xml:space="preserve">5 (Leading) — AND satisfied: Q5.4 describes a full assessment/monitoring system (annual audit, February cadence, Remuneration Committee oversight, 60-day remediation trigger for unexplained gaps, definition of ‘unexplained’). Q5.5a covers three worker categories with </w:t>
            </w:r>
            <w:r>
              <w:rPr>
                <w:color w:val="1A1A1A"/>
                <w:sz w:val="18"/>
                <w:szCs w:val="18"/>
              </w:rPr>
              <w:lastRenderedPageBreak/>
              <w:t>clear eligibility detail including pro-rata treatment and geographic variations.</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CAD1EFF" w14:textId="77777777" w:rsidR="00567B9B" w:rsidRDefault="00567B9B">
            <w:pPr>
              <w:spacing w:before="20" w:after="20"/>
            </w:pPr>
          </w:p>
        </w:tc>
      </w:tr>
      <w:tr w:rsidR="00567B9B" w14:paraId="4CAD1F04" w14:textId="77777777">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CAD1F01" w14:textId="77777777" w:rsidR="00567B9B" w:rsidRDefault="00554E59">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CAD1F02" w14:textId="77777777" w:rsidR="00567B9B" w:rsidRDefault="00554E59">
            <w:pPr>
              <w:spacing w:before="20" w:after="20"/>
            </w:pPr>
            <w:r>
              <w:rPr>
                <w:color w:val="1A1A1A"/>
                <w:sz w:val="18"/>
                <w:szCs w:val="18"/>
              </w:rPr>
              <w:t>5 (Leading) — AND satisfied: Q5.1, Q5.2, and Q5.3 all provide figures with full scope and methodology explanations. Q5.4 has two named, time-bound targets (each specifying which gap is targeted) plus specific actions taken with named outcomes (47 employees, £320k, 9 hires). Q5.5 selects three benefits with geographic and eligibility details.</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CAD1F03" w14:textId="77777777" w:rsidR="00567B9B" w:rsidRDefault="00567B9B">
            <w:pPr>
              <w:spacing w:before="20" w:after="20"/>
            </w:pPr>
          </w:p>
        </w:tc>
      </w:tr>
      <w:tr w:rsidR="00567B9B" w14:paraId="4CAD1F08" w14:textId="77777777">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CAD1F05" w14:textId="77777777" w:rsidR="00567B9B" w:rsidRDefault="00554E59">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CAD1F06" w14:textId="77777777" w:rsidR="00567B9B" w:rsidRDefault="00554E59">
            <w:pPr>
              <w:spacing w:before="20" w:after="20"/>
            </w:pPr>
            <w:r>
              <w:rPr>
                <w:b/>
                <w:bCs/>
                <w:color w:val="1A1A1A"/>
                <w:sz w:val="19"/>
                <w:szCs w:val="19"/>
              </w:rPr>
              <w:t>(5 + 5) ÷ 2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CAD1F07" w14:textId="77777777" w:rsidR="00567B9B" w:rsidRDefault="00554E59">
            <w:pPr>
              <w:spacing w:before="20" w:after="20"/>
            </w:pPr>
            <w:r>
              <w:rPr>
                <w:b/>
                <w:bCs/>
                <w:color w:val="1A1A1A"/>
                <w:sz w:val="19"/>
                <w:szCs w:val="19"/>
              </w:rPr>
              <w:t>Topic Score = 5.00 × 20 = 100 / 100</w:t>
            </w:r>
          </w:p>
        </w:tc>
      </w:tr>
    </w:tbl>
    <w:p w14:paraId="4CAD1F09" w14:textId="77777777" w:rsidR="00567B9B" w:rsidRDefault="00554E59">
      <w:pPr>
        <w:spacing w:before="80" w:after="60"/>
      </w:pPr>
      <w:r>
        <w:rPr>
          <w:i/>
          <w:iCs/>
          <w:color w:val="666666"/>
          <w:sz w:val="17"/>
          <w:szCs w:val="17"/>
        </w:rPr>
        <w:t>Full marks. Note that the CEO ratio of 87:1 is not what earned the high Action score — the full explanation of methodology (GRI 102-38 aligned, specific inclusions, date) is what distinguishes it from a company that simply states a number.</w:t>
      </w:r>
    </w:p>
    <w:p w14:paraId="4CAD1F0A" w14:textId="77777777" w:rsidR="00567B9B" w:rsidRDefault="00554E59">
      <w:pPr>
        <w:spacing w:before="240" w:after="80"/>
      </w:pPr>
      <w:r>
        <w:rPr>
          <w:b/>
          <w:bCs/>
          <w:color w:val="2E75B6"/>
        </w:rPr>
        <w:t>Example B: Partial disclosure with no ethnicity data and vague actions</w:t>
      </w:r>
    </w:p>
    <w:p w14:paraId="4CAD1F0B" w14:textId="77777777" w:rsidR="00567B9B" w:rsidRDefault="00554E59">
      <w:pPr>
        <w:spacing w:before="80" w:after="80"/>
      </w:pPr>
      <w:r>
        <w:rPr>
          <w:color w:val="1A1A1A"/>
        </w:rPr>
        <w:t>A company responds as follows:</w:t>
      </w:r>
    </w:p>
    <w:p w14:paraId="4CAD1F0C" w14:textId="77777777" w:rsidR="00567B9B" w:rsidRDefault="00554E59">
      <w:pPr>
        <w:spacing w:before="80" w:after="80"/>
      </w:pPr>
      <w:r>
        <w:rPr>
          <w:color w:val="1A1A1A"/>
          <w:sz w:val="19"/>
          <w:szCs w:val="19"/>
        </w:rPr>
        <w:t>Q5.1: CEO-to-median ratio: 45:1. Explanation: blank.</w:t>
      </w:r>
    </w:p>
    <w:p w14:paraId="4CAD1F0D" w14:textId="77777777" w:rsidR="00567B9B" w:rsidRDefault="00554E59">
      <w:pPr>
        <w:spacing w:before="80" w:after="80"/>
      </w:pPr>
      <w:r>
        <w:rPr>
          <w:color w:val="1A1A1A"/>
          <w:sz w:val="19"/>
          <w:szCs w:val="19"/>
        </w:rPr>
        <w:t>Q5.2: Gender pay gap: 9.2%. Explanation: “Median gender pay gap for UK employees.” (No methodology or data treatment stated.)</w:t>
      </w:r>
    </w:p>
    <w:p w14:paraId="4CAD1F0E" w14:textId="77777777" w:rsidR="00567B9B" w:rsidRDefault="00554E59">
      <w:pPr>
        <w:spacing w:before="80" w:after="80"/>
      </w:pPr>
      <w:r>
        <w:rPr>
          <w:color w:val="1A1A1A"/>
          <w:sz w:val="19"/>
          <w:szCs w:val="19"/>
        </w:rPr>
        <w:t>Q5.3: Blank. No legal exception provided.</w:t>
      </w:r>
    </w:p>
    <w:p w14:paraId="4CAD1F0F" w14:textId="77777777" w:rsidR="00567B9B" w:rsidRDefault="00554E59">
      <w:pPr>
        <w:spacing w:before="80" w:after="80"/>
      </w:pPr>
      <w:r>
        <w:rPr>
          <w:color w:val="1A1A1A"/>
          <w:sz w:val="19"/>
          <w:szCs w:val="19"/>
        </w:rPr>
        <w:t>Q5.4: “We are committed to pay equity and take steps to address pay gaps. We set targets to reduce our gender pay gap and undertake annual reviews.” (No specific targets, no named actions, no timelines.)</w:t>
      </w:r>
    </w:p>
    <w:p w14:paraId="4CAD1F10" w14:textId="77777777" w:rsidR="00567B9B" w:rsidRDefault="00554E59">
      <w:pPr>
        <w:spacing w:before="80" w:after="80"/>
      </w:pPr>
      <w:r>
        <w:rPr>
          <w:color w:val="1A1A1A"/>
          <w:sz w:val="19"/>
          <w:szCs w:val="19"/>
        </w:rPr>
        <w:t>Q5.5: Training budget selected only. Additional details: blank. Q5.5a: Full-time/permanent only selected. Additional detail: blank.</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567B9B" w14:paraId="4CAD1F14" w14:textId="77777777">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CAD1F11" w14:textId="77777777" w:rsidR="00567B9B" w:rsidRDefault="00554E59">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CAD1F12" w14:textId="77777777" w:rsidR="00567B9B" w:rsidRDefault="00554E59">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CAD1F13" w14:textId="77777777" w:rsidR="00567B9B" w:rsidRDefault="00554E59">
            <w:pPr>
              <w:jc w:val="center"/>
            </w:pPr>
            <w:r>
              <w:rPr>
                <w:b/>
                <w:bCs/>
                <w:color w:val="FFFFFF"/>
                <w:sz w:val="16"/>
                <w:szCs w:val="16"/>
              </w:rPr>
              <w:t>Calculation</w:t>
            </w:r>
          </w:p>
        </w:tc>
      </w:tr>
      <w:tr w:rsidR="00567B9B" w14:paraId="4CAD1F18" w14:textId="77777777">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CAD1F15" w14:textId="77777777" w:rsidR="00567B9B" w:rsidRDefault="00554E59">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CAD1F16" w14:textId="77777777" w:rsidR="00567B9B" w:rsidRDefault="00554E59">
            <w:pPr>
              <w:spacing w:before="20" w:after="20"/>
            </w:pPr>
            <w:r>
              <w:rPr>
                <w:color w:val="1A1A1A"/>
                <w:sz w:val="18"/>
                <w:szCs w:val="18"/>
              </w:rPr>
              <w:t>1 (Minimal) — Q5.4 mentions annual reviews but describes no process, no cadence specifics, no governance, and no triggers. Q5.5a selects only one worker category with no additional detail. OR: some governance language exists in Q5.4, but it is too vague to reach score 2.</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CAD1F17" w14:textId="77777777" w:rsidR="00567B9B" w:rsidRDefault="00567B9B">
            <w:pPr>
              <w:spacing w:before="20" w:after="20"/>
            </w:pPr>
          </w:p>
        </w:tc>
      </w:tr>
      <w:tr w:rsidR="00567B9B" w14:paraId="4CAD1F1C" w14:textId="77777777">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CAD1F19" w14:textId="77777777" w:rsidR="00567B9B" w:rsidRDefault="00554E59">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CAD1F1A" w14:textId="77777777" w:rsidR="00567B9B" w:rsidRDefault="00554E59">
            <w:pPr>
              <w:spacing w:before="20" w:after="20"/>
            </w:pPr>
            <w:r>
              <w:rPr>
                <w:color w:val="1A1A1A"/>
                <w:sz w:val="18"/>
                <w:szCs w:val="18"/>
              </w:rPr>
              <w:t>2 (Basic) — Q5.1 provides a ratio (45:1) but no explanation of scope or methodology. Q5.2 provides a percentage with only partial explanation (scope only, no methodology). Q5.3 is blank without a legal exception — a genuine disclosure gap. Q5.4 has no specific targets or named actions. Q5.5 selects one benefit with no detail. OR: two pay metrics are partially provided, reaching score 2 but no higher due to missing methodology on Q5.1 and missing Q5.3.</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CAD1F1B" w14:textId="77777777" w:rsidR="00567B9B" w:rsidRDefault="00567B9B">
            <w:pPr>
              <w:spacing w:before="20" w:after="20"/>
            </w:pPr>
          </w:p>
        </w:tc>
      </w:tr>
      <w:tr w:rsidR="00567B9B" w14:paraId="4CAD1F20" w14:textId="77777777">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CAD1F1D" w14:textId="77777777" w:rsidR="00567B9B" w:rsidRDefault="00554E59">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CAD1F1E" w14:textId="77777777" w:rsidR="00567B9B" w:rsidRDefault="00554E59">
            <w:pPr>
              <w:spacing w:before="20" w:after="20"/>
            </w:pPr>
            <w:r>
              <w:rPr>
                <w:b/>
                <w:bCs/>
                <w:color w:val="1A1A1A"/>
                <w:sz w:val="19"/>
                <w:szCs w:val="19"/>
              </w:rPr>
              <w:t>(1 + 2) ÷ 2 = 1.50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CAD1F1F" w14:textId="77777777" w:rsidR="00567B9B" w:rsidRDefault="00554E59">
            <w:pPr>
              <w:spacing w:before="20" w:after="20"/>
            </w:pPr>
            <w:r>
              <w:rPr>
                <w:b/>
                <w:bCs/>
                <w:color w:val="1A1A1A"/>
                <w:sz w:val="19"/>
                <w:szCs w:val="19"/>
              </w:rPr>
              <w:t>Topic Score = 1.50 × 20 = 30 / 100</w:t>
            </w:r>
          </w:p>
        </w:tc>
      </w:tr>
    </w:tbl>
    <w:p w14:paraId="4CAD1F21" w14:textId="77777777" w:rsidR="00567B9B" w:rsidRDefault="00554E59">
      <w:pPr>
        <w:spacing w:before="80" w:after="60"/>
      </w:pPr>
      <w:r>
        <w:rPr>
          <w:i/>
          <w:iCs/>
          <w:color w:val="666666"/>
          <w:sz w:val="17"/>
          <w:szCs w:val="17"/>
        </w:rPr>
        <w:t>30/100. The company has disclosed some pay metrics but without the methodology context that makes them meaningful. Key gaps: Q5.1 explanation missing; Q5.2 methodology missing; Q5.3 blank without exception; Q5.4 entirely generic; Q5.5a covers only permanent employees. None of these are difficult to fix — each requires adding context to what’s already disclosed rather than new data collection.</w:t>
      </w:r>
    </w:p>
    <w:sectPr w:rsidR="00567B9B">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5B89E" w14:textId="77777777" w:rsidR="00554E59" w:rsidRDefault="00554E59" w:rsidP="00596CE9">
      <w:r>
        <w:separator/>
      </w:r>
    </w:p>
  </w:endnote>
  <w:endnote w:type="continuationSeparator" w:id="0">
    <w:p w14:paraId="7801526F" w14:textId="77777777" w:rsidR="00554E59" w:rsidRDefault="00554E59" w:rsidP="00596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1391" w14:textId="77777777" w:rsidR="00596CE9" w:rsidRDefault="00596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F0AA1" w14:textId="77777777" w:rsidR="00596CE9" w:rsidRDefault="00596C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588AA" w14:textId="77777777" w:rsidR="00596CE9" w:rsidRDefault="00596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289C2" w14:textId="77777777" w:rsidR="00554E59" w:rsidRDefault="00554E59" w:rsidP="00596CE9">
      <w:r>
        <w:separator/>
      </w:r>
    </w:p>
  </w:footnote>
  <w:footnote w:type="continuationSeparator" w:id="0">
    <w:p w14:paraId="1140847C" w14:textId="77777777" w:rsidR="00554E59" w:rsidRDefault="00554E59" w:rsidP="00596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BB72" w14:textId="77777777" w:rsidR="00596CE9" w:rsidRDefault="00596C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9886672"/>
      <w:docPartObj>
        <w:docPartGallery w:val="Watermarks"/>
        <w:docPartUnique/>
      </w:docPartObj>
    </w:sdtPr>
    <w:sdtContent>
      <w:p w14:paraId="3534B9F1" w14:textId="643221E7" w:rsidR="00596CE9" w:rsidRDefault="00596CE9">
        <w:pPr>
          <w:pStyle w:val="Header"/>
        </w:pPr>
        <w:r>
          <w:rPr>
            <w:noProof/>
          </w:rPr>
          <w:pict w14:anchorId="2F78E5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39066" w14:textId="77777777" w:rsidR="00596CE9" w:rsidRDefault="00596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729FF"/>
    <w:multiLevelType w:val="hybridMultilevel"/>
    <w:tmpl w:val="ABB6D24E"/>
    <w:lvl w:ilvl="0" w:tplc="A5F64F5A">
      <w:start w:val="1"/>
      <w:numFmt w:val="bullet"/>
      <w:lvlText w:val="●"/>
      <w:lvlJc w:val="left"/>
      <w:pPr>
        <w:ind w:left="720" w:hanging="360"/>
      </w:pPr>
    </w:lvl>
    <w:lvl w:ilvl="1" w:tplc="84ECD45C">
      <w:start w:val="1"/>
      <w:numFmt w:val="bullet"/>
      <w:lvlText w:val="○"/>
      <w:lvlJc w:val="left"/>
      <w:pPr>
        <w:ind w:left="1440" w:hanging="360"/>
      </w:pPr>
    </w:lvl>
    <w:lvl w:ilvl="2" w:tplc="48A65FAE">
      <w:start w:val="1"/>
      <w:numFmt w:val="bullet"/>
      <w:lvlText w:val="■"/>
      <w:lvlJc w:val="left"/>
      <w:pPr>
        <w:ind w:left="2160" w:hanging="360"/>
      </w:pPr>
    </w:lvl>
    <w:lvl w:ilvl="3" w:tplc="E9ACFCBE">
      <w:start w:val="1"/>
      <w:numFmt w:val="bullet"/>
      <w:lvlText w:val="●"/>
      <w:lvlJc w:val="left"/>
      <w:pPr>
        <w:ind w:left="2880" w:hanging="360"/>
      </w:pPr>
    </w:lvl>
    <w:lvl w:ilvl="4" w:tplc="931AB9D4">
      <w:start w:val="1"/>
      <w:numFmt w:val="bullet"/>
      <w:lvlText w:val="○"/>
      <w:lvlJc w:val="left"/>
      <w:pPr>
        <w:ind w:left="3600" w:hanging="360"/>
      </w:pPr>
    </w:lvl>
    <w:lvl w:ilvl="5" w:tplc="9E4C4BC4">
      <w:start w:val="1"/>
      <w:numFmt w:val="bullet"/>
      <w:lvlText w:val="■"/>
      <w:lvlJc w:val="left"/>
      <w:pPr>
        <w:ind w:left="4320" w:hanging="360"/>
      </w:pPr>
    </w:lvl>
    <w:lvl w:ilvl="6" w:tplc="12D4A32E">
      <w:start w:val="1"/>
      <w:numFmt w:val="bullet"/>
      <w:lvlText w:val="●"/>
      <w:lvlJc w:val="left"/>
      <w:pPr>
        <w:ind w:left="5040" w:hanging="360"/>
      </w:pPr>
    </w:lvl>
    <w:lvl w:ilvl="7" w:tplc="ABA458D8">
      <w:start w:val="1"/>
      <w:numFmt w:val="bullet"/>
      <w:lvlText w:val="●"/>
      <w:lvlJc w:val="left"/>
      <w:pPr>
        <w:ind w:left="5760" w:hanging="360"/>
      </w:pPr>
    </w:lvl>
    <w:lvl w:ilvl="8" w:tplc="C3D69248">
      <w:start w:val="1"/>
      <w:numFmt w:val="bullet"/>
      <w:lvlText w:val="●"/>
      <w:lvlJc w:val="left"/>
      <w:pPr>
        <w:ind w:left="6480" w:hanging="360"/>
      </w:pPr>
    </w:lvl>
  </w:abstractNum>
  <w:num w:numId="1" w16cid:durableId="110699560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B9B"/>
    <w:rsid w:val="001250BB"/>
    <w:rsid w:val="001B6581"/>
    <w:rsid w:val="00335A15"/>
    <w:rsid w:val="00554E59"/>
    <w:rsid w:val="00567B9B"/>
    <w:rsid w:val="00574EBB"/>
    <w:rsid w:val="00596CE9"/>
    <w:rsid w:val="005B6274"/>
    <w:rsid w:val="00B17A4F"/>
    <w:rsid w:val="012DFB4D"/>
    <w:rsid w:val="1418A389"/>
    <w:rsid w:val="1953EC87"/>
    <w:rsid w:val="49057798"/>
    <w:rsid w:val="5C482878"/>
    <w:rsid w:val="5FBCB765"/>
    <w:rsid w:val="7EF7620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D1E82"/>
  <w15:docId w15:val="{86A13C17-EEB1-4D33-956A-A6DE13C8B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335A15"/>
    <w:rPr>
      <w:sz w:val="16"/>
      <w:szCs w:val="16"/>
    </w:rPr>
  </w:style>
  <w:style w:type="paragraph" w:styleId="CommentText">
    <w:name w:val="annotation text"/>
    <w:basedOn w:val="Normal"/>
    <w:link w:val="CommentTextChar"/>
    <w:uiPriority w:val="99"/>
    <w:unhideWhenUsed/>
    <w:rsid w:val="00335A15"/>
  </w:style>
  <w:style w:type="character" w:customStyle="1" w:styleId="CommentTextChar">
    <w:name w:val="Comment Text Char"/>
    <w:basedOn w:val="DefaultParagraphFont"/>
    <w:link w:val="CommentText"/>
    <w:uiPriority w:val="99"/>
    <w:rsid w:val="00335A15"/>
  </w:style>
  <w:style w:type="paragraph" w:styleId="CommentSubject">
    <w:name w:val="annotation subject"/>
    <w:basedOn w:val="CommentText"/>
    <w:next w:val="CommentText"/>
    <w:link w:val="CommentSubjectChar"/>
    <w:uiPriority w:val="99"/>
    <w:semiHidden/>
    <w:unhideWhenUsed/>
    <w:rsid w:val="00335A15"/>
    <w:rPr>
      <w:b/>
      <w:bCs/>
    </w:rPr>
  </w:style>
  <w:style w:type="character" w:customStyle="1" w:styleId="CommentSubjectChar">
    <w:name w:val="Comment Subject Char"/>
    <w:basedOn w:val="CommentTextChar"/>
    <w:link w:val="CommentSubject"/>
    <w:uiPriority w:val="99"/>
    <w:semiHidden/>
    <w:rsid w:val="00335A15"/>
    <w:rPr>
      <w:b/>
      <w:bCs/>
    </w:rPr>
  </w:style>
  <w:style w:type="paragraph" w:styleId="Header">
    <w:name w:val="header"/>
    <w:basedOn w:val="Normal"/>
    <w:link w:val="HeaderChar"/>
    <w:uiPriority w:val="99"/>
    <w:unhideWhenUsed/>
    <w:rsid w:val="00596CE9"/>
    <w:pPr>
      <w:tabs>
        <w:tab w:val="center" w:pos="4513"/>
        <w:tab w:val="right" w:pos="9026"/>
      </w:tabs>
    </w:pPr>
  </w:style>
  <w:style w:type="character" w:customStyle="1" w:styleId="HeaderChar">
    <w:name w:val="Header Char"/>
    <w:basedOn w:val="DefaultParagraphFont"/>
    <w:link w:val="Header"/>
    <w:uiPriority w:val="99"/>
    <w:rsid w:val="00596CE9"/>
  </w:style>
  <w:style w:type="paragraph" w:styleId="Footer">
    <w:name w:val="footer"/>
    <w:basedOn w:val="Normal"/>
    <w:link w:val="FooterChar"/>
    <w:uiPriority w:val="99"/>
    <w:unhideWhenUsed/>
    <w:rsid w:val="00596CE9"/>
    <w:pPr>
      <w:tabs>
        <w:tab w:val="center" w:pos="4513"/>
        <w:tab w:val="right" w:pos="9026"/>
      </w:tabs>
    </w:pPr>
  </w:style>
  <w:style w:type="character" w:customStyle="1" w:styleId="FooterChar">
    <w:name w:val="Footer Char"/>
    <w:basedOn w:val="DefaultParagraphFont"/>
    <w:link w:val="Footer"/>
    <w:uiPriority w:val="99"/>
    <w:rsid w:val="00596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05FA3-7919-4598-810B-B69C78BE9F19}">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499F6E07-2E8F-4158-B4DF-56FED9E78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8536C7-5C08-4B39-8082-E546AD5F45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3079</Words>
  <Characters>17554</Characters>
  <Application>Microsoft Office Word</Application>
  <DocSecurity>0</DocSecurity>
  <Lines>146</Lines>
  <Paragraphs>41</Paragraphs>
  <ScaleCrop>false</ScaleCrop>
  <Company/>
  <LinksUpToDate>false</LinksUpToDate>
  <CharactersWithSpaces>20592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Arora, Cmran (TR Foundation)</cp:lastModifiedBy>
  <cp:revision>7</cp:revision>
  <dcterms:created xsi:type="dcterms:W3CDTF">2026-07-03T10:09:00Z</dcterms:created>
  <dcterms:modified xsi:type="dcterms:W3CDTF">2026-07-14T07:21:00Z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